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1BC" w:rsidRDefault="00F361BC" w:rsidP="00F361BC">
      <w:pPr>
        <w:pStyle w:val="st7"/>
        <w:ind w:left="6480"/>
        <w:rPr>
          <w:rStyle w:val="st161"/>
        </w:rPr>
      </w:pPr>
      <w:bookmarkStart w:id="0" w:name="_GoBack"/>
      <w:bookmarkEnd w:id="0"/>
      <w:r>
        <w:rPr>
          <w:rStyle w:val="st42"/>
        </w:rPr>
        <w:t>Додаток 1</w:t>
      </w:r>
      <w:r>
        <w:rPr>
          <w:rStyle w:val="st42"/>
        </w:rPr>
        <w:br/>
        <w:t>до Порядку</w:t>
      </w:r>
    </w:p>
    <w:p w:rsidR="008E2EB3" w:rsidRDefault="004D02AA">
      <w:pPr>
        <w:pStyle w:val="st7"/>
        <w:rPr>
          <w:rStyle w:val="st161"/>
        </w:rPr>
      </w:pPr>
      <w:r>
        <w:rPr>
          <w:rStyle w:val="st161"/>
        </w:rPr>
        <w:t xml:space="preserve">ІНФОРМАЦІЯ </w:t>
      </w:r>
      <w:r>
        <w:rPr>
          <w:rStyle w:val="st161"/>
        </w:rPr>
        <w:br/>
        <w:t xml:space="preserve">про проведення управителями об’єктів обстеження та оцінки ступеня </w:t>
      </w:r>
      <w:proofErr w:type="spellStart"/>
      <w:r>
        <w:rPr>
          <w:rStyle w:val="st161"/>
        </w:rPr>
        <w:t>безбар’єрності</w:t>
      </w:r>
      <w:proofErr w:type="spellEnd"/>
      <w:r>
        <w:rPr>
          <w:rStyle w:val="st161"/>
        </w:rPr>
        <w:t xml:space="preserve"> об’єктів фізичного оточення і послуг для осіб з інвалідністю</w:t>
      </w:r>
    </w:p>
    <w:tbl>
      <w:tblPr>
        <w:tblW w:w="5000" w:type="pct"/>
        <w:tblCellSpacing w:w="0" w:type="dxa"/>
        <w:tblInd w:w="48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593"/>
        <w:gridCol w:w="16"/>
        <w:gridCol w:w="3355"/>
        <w:gridCol w:w="1285"/>
        <w:gridCol w:w="1195"/>
        <w:gridCol w:w="635"/>
        <w:gridCol w:w="345"/>
        <w:gridCol w:w="85"/>
        <w:gridCol w:w="953"/>
        <w:gridCol w:w="227"/>
        <w:gridCol w:w="1230"/>
        <w:gridCol w:w="54"/>
      </w:tblGrid>
      <w:tr w:rsidR="008E2EB3">
        <w:trPr>
          <w:gridAfter w:val="1"/>
          <w:wAfter w:w="78" w:type="dxa"/>
          <w:tblCellSpacing w:w="0" w:type="dxa"/>
        </w:trPr>
        <w:tc>
          <w:tcPr>
            <w:tcW w:w="165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Загальна інформація про об’єкт</w:t>
            </w:r>
          </w:p>
        </w:tc>
      </w:tr>
      <w:tr w:rsidR="008E2EB3">
        <w:tblPrEx>
          <w:tblCellSpacing w:w="-6" w:type="dxa"/>
        </w:tblPrEx>
        <w:trPr>
          <w:gridAfter w:val="1"/>
          <w:wAfter w:w="78" w:type="dxa"/>
          <w:tblCellSpacing w:w="-6" w:type="dxa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1.</w:t>
            </w:r>
          </w:p>
        </w:tc>
        <w:tc>
          <w:tcPr>
            <w:tcW w:w="115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Дата проведення обстеження</w:t>
            </w:r>
          </w:p>
        </w:tc>
        <w:tc>
          <w:tcPr>
            <w:tcW w:w="4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</w:tblPrEx>
        <w:trPr>
          <w:gridAfter w:val="1"/>
          <w:wAfter w:w="78" w:type="dxa"/>
          <w:tblCellSpacing w:w="-6" w:type="dxa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2.</w:t>
            </w:r>
          </w:p>
        </w:tc>
        <w:tc>
          <w:tcPr>
            <w:tcW w:w="115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Адреса розташування об’єкта</w:t>
            </w:r>
          </w:p>
        </w:tc>
        <w:tc>
          <w:tcPr>
            <w:tcW w:w="4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</w:tblPrEx>
        <w:trPr>
          <w:gridAfter w:val="1"/>
          <w:wAfter w:w="78" w:type="dxa"/>
          <w:tblCellSpacing w:w="-6" w:type="dxa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3.</w:t>
            </w:r>
          </w:p>
        </w:tc>
        <w:tc>
          <w:tcPr>
            <w:tcW w:w="115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Форма власності</w:t>
            </w:r>
          </w:p>
        </w:tc>
        <w:tc>
          <w:tcPr>
            <w:tcW w:w="4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</w:tblPrEx>
        <w:trPr>
          <w:gridAfter w:val="1"/>
          <w:wAfter w:w="78" w:type="dxa"/>
          <w:tblCellSpacing w:w="-6" w:type="dxa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4.</w:t>
            </w:r>
          </w:p>
        </w:tc>
        <w:tc>
          <w:tcPr>
            <w:tcW w:w="115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Найменування послуги</w:t>
            </w:r>
          </w:p>
        </w:tc>
        <w:tc>
          <w:tcPr>
            <w:tcW w:w="4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</w:tblPrEx>
        <w:trPr>
          <w:gridAfter w:val="1"/>
          <w:wAfter w:w="78" w:type="dxa"/>
          <w:tblCellSpacing w:w="-6" w:type="dxa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5.</w:t>
            </w:r>
          </w:p>
        </w:tc>
        <w:tc>
          <w:tcPr>
            <w:tcW w:w="115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Особа, яка проводила обстеження</w:t>
            </w:r>
          </w:p>
        </w:tc>
        <w:tc>
          <w:tcPr>
            <w:tcW w:w="4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</w:tblPrEx>
        <w:trPr>
          <w:gridAfter w:val="1"/>
          <w:wAfter w:w="78" w:type="dxa"/>
          <w:tblCellSpacing w:w="-6" w:type="dxa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6.</w:t>
            </w:r>
          </w:p>
        </w:tc>
        <w:tc>
          <w:tcPr>
            <w:tcW w:w="115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Контактні дані про особу, яка проводила обстеження (контактний номер телефону, адреса електронної пошти)</w:t>
            </w:r>
          </w:p>
        </w:tc>
        <w:tc>
          <w:tcPr>
            <w:tcW w:w="4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Header/>
          <w:tblCellSpacing w:w="0" w:type="dxa"/>
        </w:trPr>
        <w:tc>
          <w:tcPr>
            <w:tcW w:w="1183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 xml:space="preserve">Критерії </w:t>
            </w:r>
            <w:proofErr w:type="spellStart"/>
            <w:r>
              <w:rPr>
                <w:rStyle w:val="st44"/>
              </w:rPr>
              <w:t>безбар’єрності</w:t>
            </w:r>
            <w:proofErr w:type="spellEnd"/>
            <w:r>
              <w:rPr>
                <w:rStyle w:val="st44"/>
              </w:rPr>
              <w:t xml:space="preserve"> об’єктів фізичного оточення і послуг для осіб з інвалідністю 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 xml:space="preserve">Відповідність критеріям </w:t>
            </w:r>
            <w:r>
              <w:rPr>
                <w:rStyle w:val="st44"/>
              </w:rPr>
              <w:br/>
              <w:t>(так або ні)</w:t>
            </w:r>
          </w:p>
        </w:tc>
        <w:tc>
          <w:tcPr>
            <w:tcW w:w="24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Примітки</w:t>
            </w: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1.</w:t>
            </w: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Шляхи руху до будівлі: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1) місця для безоплатного паркування транспортних засобів, якими керують особи з інвалідністю або водії, які </w:t>
            </w:r>
            <w:proofErr w:type="spellStart"/>
            <w:r>
              <w:rPr>
                <w:rStyle w:val="st42"/>
              </w:rPr>
              <w:t>перевозять</w:t>
            </w:r>
            <w:proofErr w:type="spellEnd"/>
            <w:r>
              <w:rPr>
                <w:rStyle w:val="st42"/>
              </w:rPr>
              <w:t xml:space="preserve"> осіб з інвалідністю, розташовуються на відстані не більш як 50 метрів від входу до будівлі або споруди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2) таких місць не менш як 10 відсотків загальної кількості (але не менш як одне місце), місця позначені дорожніми знаками та горизонтальною розміткою з піктограмами міжнародного символу доступності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3) ширина входу на прилеглу територію та ширина дверей, хвірток (у разі їх наявності) становить не менше 0,9 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4) ширина пішохідних доріжок до будівлі становить не менше 1,8 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5) покриття пішохідних доріжок, тротуарів і пандусів рівне (без вибоїн, без застосування як верхнього шару покриття </w:t>
            </w:r>
            <w:r>
              <w:rPr>
                <w:rStyle w:val="st42"/>
              </w:rPr>
              <w:lastRenderedPageBreak/>
              <w:t xml:space="preserve">насипних або </w:t>
            </w:r>
            <w:proofErr w:type="spellStart"/>
            <w:r>
              <w:rPr>
                <w:rStyle w:val="st42"/>
              </w:rPr>
              <w:t>крупноструктурних</w:t>
            </w:r>
            <w:proofErr w:type="spellEnd"/>
            <w:r>
              <w:rPr>
                <w:rStyle w:val="st42"/>
              </w:rPr>
              <w:t xml:space="preserve"> матеріалів, що перешкоджають пересуванню на кріслах колісних або з милицями)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6) у разі наявності на прилеглій території та/або на шляху до будівлі сходів вони </w:t>
            </w:r>
            <w:proofErr w:type="spellStart"/>
            <w:r>
              <w:rPr>
                <w:rStyle w:val="st42"/>
              </w:rPr>
              <w:t>продубльовані</w:t>
            </w:r>
            <w:proofErr w:type="spellEnd"/>
            <w:r>
              <w:rPr>
                <w:rStyle w:val="st42"/>
              </w:rPr>
              <w:t xml:space="preserve"> пандусом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7) нахил пандуса становить не більш як 8 відсотків (на 1 метр довжини не більше 8 сантиметрів підйому), уздовж обох боків усіх сходів і пандусів встановлено огорожу з поручнями, поручні пандусів розташовані на висоті 0,7 і 0,9 метра, завершальні частини поручнів продовжені по горизонталі на 0,3 метра (як вгорі, так і внизу) або застосовано піднімальні пристрої, що відповідають вимогам державних стандартів, які встановлюють вимоги до зазначеного обладнання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8) всі сходи в межах одного маршу однакові за формою в плані, за шириною сходинки і висотою підйому сходинок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9) систему засобів орієнтації, інформаційної підтримки та безпеки, а саме тактильні та візуальні елементи доступності, передбачені на всіх шляхах руху до будівель і споруд (включаючи контрастне маркування кольором першої/останньої сходинки, порогів, інших об’єктів та перешкод)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10) міжнародним символом доступності позначено шляхи/напрямки, доступні та безпечні для осіб з інвалідністю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2.</w:t>
            </w: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Вхідна група: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1) вхідна група до об’єкта облаштована доступними (візуально та </w:t>
            </w:r>
            <w:proofErr w:type="spellStart"/>
            <w:r>
              <w:rPr>
                <w:rStyle w:val="st42"/>
              </w:rPr>
              <w:t>тактильно</w:t>
            </w:r>
            <w:proofErr w:type="spellEnd"/>
            <w:r>
              <w:rPr>
                <w:rStyle w:val="st42"/>
              </w:rPr>
              <w:t>) інформаційними покажчиками: адресна табличка, інформація про: назву, опис діяльності установи, години роботи; інша довідкова інформація тощо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2) у разі наявності на вході до будівлі або споруди сходів вони </w:t>
            </w:r>
            <w:proofErr w:type="spellStart"/>
            <w:r>
              <w:rPr>
                <w:rStyle w:val="st42"/>
              </w:rPr>
              <w:t>продубльовані</w:t>
            </w:r>
            <w:proofErr w:type="spellEnd"/>
            <w:r>
              <w:rPr>
                <w:rStyle w:val="st42"/>
              </w:rPr>
              <w:t xml:space="preserve"> пандусом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3) нахил пандуса становить не більш як 8 відсотків (на 1 метр довжини не більше 8 сантиметрів підйому), уздовж обох боків усіх сходів і пандусів встановлено огорожу з поручнями, поручні пандусів розташовані на висоті 0,7 і 0,9 метра, завершальні частини поручнів продовжені по горизонталі на 0,3 метра (як вгорі, так і внизу) або застосовано піднімальні пристрої, що відповідають вимогам державних стандартів, які встановлюють вимоги до зазначеного обладнання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4) всі сходи в межах одного маршу однакові за формою в плані, за шириною сходинки і висотою підйому сходинок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5) двері облаштовані спеціальними пристосуваннями для фіксації дверних </w:t>
            </w:r>
            <w:proofErr w:type="spellStart"/>
            <w:r>
              <w:rPr>
                <w:rStyle w:val="st42"/>
              </w:rPr>
              <w:t>полотен</w:t>
            </w:r>
            <w:proofErr w:type="spellEnd"/>
            <w:r>
              <w:rPr>
                <w:rStyle w:val="st42"/>
              </w:rPr>
              <w:t xml:space="preserve"> в положенні “зачинено” і “відчинено”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6) за наявності прозорих дверних (фасадних) конструкцій на них нанесено відповідне контрастне маркування кольором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7) дверні отвори без порогів і перепадів висот, ширина дверних отворів становить не менш як 0,9 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8) за наявності порогів висота кожного елемента порога не перевищує 0,02 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9) кути порогів заокруглені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10) на першу/останню сходинки, пороги, інші об’єкти та перешкоди нанесено контрастне маркування кольором (ширина маркування горизонтальної площини ребра - 0,05-0,1 метра, вертикальної - 0,03-0,05 метра)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11) розміри в плані тамбура (у разі його наявності) становлять не менше 1,5 х 1,5 метра (або такі, що дають змогу маневрувати кріслу колісному)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12) майданчик перед входом, а також пандус, сходи, піднімальні пристрої для осіб з інвалідністю захищені від атмосферних опадів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13) відсутні перешкоди (решітка з розміром чарунок більше за 0,015 м х 0,015 метра/щітка для витирання ніг, рівень верху яких не збігається з рівнем підлоги) та перепади висоти підлоги на вході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14) у разі наявності турнікета його ширина у просвіті становить не менше 1 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3.</w:t>
            </w: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Шляхи руху всередині будівлі, приміщення, де надається послуга, допоміжні приміщення: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1) у разі наявності на шляхах руху осіб з інвалідністю сходів вони </w:t>
            </w:r>
            <w:proofErr w:type="spellStart"/>
            <w:r>
              <w:rPr>
                <w:rStyle w:val="st42"/>
              </w:rPr>
              <w:t>продубльовані</w:t>
            </w:r>
            <w:proofErr w:type="spellEnd"/>
            <w:r>
              <w:rPr>
                <w:rStyle w:val="st42"/>
              </w:rPr>
              <w:t xml:space="preserve"> пандусом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2) нахил пандуса становить не більш як 8 відсотків (на 1 метр довжини не більше 8 сантиметрів підйому), уздовж обох боків усіх сходів і пандусів встановлено огорожу з поручнями, поручні пандусів розташовані на висоті 0,7 і 0,9 метра, завершальні частини поручнів продовжені по горизонталі на 0,3 метра (як вгорі, так і внизу) або застосовано піднімальні пристрої, що відповідають вимогам державних стандартів, які встановлюють вимоги до зазначеного обладнання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3) всі сходи в межах одного маршу однакові за формою в плані, за шириною сходинки і висотою підйому сходинок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4) двері облаштовані спеціальними пристосуваннями для фіксації дверних </w:t>
            </w:r>
            <w:proofErr w:type="spellStart"/>
            <w:r>
              <w:rPr>
                <w:rStyle w:val="st42"/>
              </w:rPr>
              <w:t>полотен</w:t>
            </w:r>
            <w:proofErr w:type="spellEnd"/>
            <w:r>
              <w:rPr>
                <w:rStyle w:val="st42"/>
              </w:rPr>
              <w:t xml:space="preserve"> в положенні “зачинено” і “відчинено”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5) за наявності прозорих дверних (фасадних) конструкцій на них нанесено відповідне контрастне маркування кольором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6) дверні отвори без порогів і перепадів висот, ширина дверних отворів становить не менш як 0,9 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7) за наявності порогів висота кожного елемента порога не перевищує 0,02 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8) кути порогів заокруглені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9) на першу/останню сходинки, пороги, інші об’єкти та перешкоди нанесено контрастне маркування кольором (ширина маркування горизонтальної площини ребра - 0,05-0,1 метра, вертикальної - 0,03-0,05 метра)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10) шляхи руху оснащені засобами орієнтування та інформування (зокрема, тактильні та візуальні елементи доступності, позначення кольором сходинок, порогів, елементів обладнання, прозорих елементів конструкцій, інших об’єктів) та для осіб з порушеннями слуху (зокрема, інформаційні термінали, екрани, табло з написами у вигляді рухомого рядка, пристрої для забезпечення текстового або </w:t>
            </w:r>
            <w:proofErr w:type="spellStart"/>
            <w:r>
              <w:rPr>
                <w:rStyle w:val="st42"/>
              </w:rPr>
              <w:t>відеозв’язку</w:t>
            </w:r>
            <w:proofErr w:type="spellEnd"/>
            <w:r>
              <w:rPr>
                <w:rStyle w:val="st42"/>
              </w:rPr>
              <w:t>, перекладу на жестову мову, оснащення спеціальними персональними приладами підсилення звуку), що відповідають вимогам державних стандартів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11) у приміщенні відсутні предмети /перепони (горизонтальні та такі, що виступають над поверхнею підлоги, конструкції, бордюри, пороги тощо) на шляхах руху осіб з інвалідністю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12) у разі розташування приміщень, де надаються послуги, або допоміжних приміщень вище першого поверху вони обладнані ліфтом, ескалатором, підйомником тощо, доступними для користування осіб з інвалідністю, що відповідають вимогам державних стандартів, які встановлюють вимоги до зазначеного обладнання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13) процес відкриття/закриття дверей ліфта супроводжується звуковим сигналом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14) під час зупинки ліфта рівень його підлоги залишається в рівень із підлогою поверху (допускається відхилення не більш </w:t>
            </w:r>
            <w:r>
              <w:rPr>
                <w:rStyle w:val="st42"/>
              </w:rPr>
              <w:lastRenderedPageBreak/>
              <w:t>як 0,02 метра)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15) номери поверхів, зазначені на кнопках ліфта, намальовані збільшеним шрифтом та у контрастному співвідношенні кольорів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16) номери поверхів, зазначені на кнопках ліфта, </w:t>
            </w:r>
            <w:proofErr w:type="spellStart"/>
            <w:r>
              <w:rPr>
                <w:rStyle w:val="st42"/>
              </w:rPr>
              <w:t>продубльовані</w:t>
            </w:r>
            <w:proofErr w:type="spellEnd"/>
            <w:r>
              <w:rPr>
                <w:rStyle w:val="st42"/>
              </w:rPr>
              <w:t xml:space="preserve"> у тактильному вигляді та шрифтом </w:t>
            </w:r>
            <w:proofErr w:type="spellStart"/>
            <w:r>
              <w:rPr>
                <w:rStyle w:val="st42"/>
              </w:rPr>
              <w:t>Брайля</w:t>
            </w:r>
            <w:proofErr w:type="spellEnd"/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17) ліфт обладнано функцією голосового повідомлення номера поверху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18) навпроти дверей ліфта наявна табличка із номером поверху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19) ширина дверей ліфта не менш як 0,9 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20) висота розташування зовнішньої кнопки виклику та висота розташування кнопок керування ліфтом від 900 до 1100 міліметрів від підлоги кабіни і поверхової площадки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21) санітарно-гігієнічні та інші допоміжні приміщення розраховані на осіб з інвалідністю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22) у туалетах загального користування (у разі їх наявності) (окремо для чоловіків і жінок) виконано універсальну кабіну з можливістю заїзду до неї та переміщення в ній осіб у кріслах колісних (у туалетах та/або універсальних кабінах наявне в плані вільне від обладнання коло діаметром 1,5 метра)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23) окремі санітарно-гігієнічні приміщення (з окремим входом) обладнані аварійною (тривожною) сигналізацією з урахуванням осіб з порушеннями зору та слуху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24) привод сигналізації розташовано в межах між 0,8-1,1 метра над рівнем підлоги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25) шляхи/напрямки, доступні та безпечні для осіб з інвалідністю, позначено міжнародним знаком доступності для зручності осіб з інвалідністю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26) місце розташування пандуса (у разі його наявності) позначено міжнародним знаком доступності для зручності осіб з інвалідністю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27) місце розташування санітарно-гігієнічного приміщення, доступного для осіб з інвалідністю, позначено міжнародним знаком доступності для зручності осіб з інвалідністю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28) напрямок руху до евакуаційних шляхів та виходів, доступних для осіб з інвалідністю, позначено міжнародним </w:t>
            </w:r>
            <w:r>
              <w:rPr>
                <w:rStyle w:val="st42"/>
              </w:rPr>
              <w:lastRenderedPageBreak/>
              <w:t>знаком доступності для зручності осіб з інвалідністю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29) за визначеної потреби на вході/виході до/з будівлі встановлено план-схему, що сприятиме самостійній навігації (орієнтуванню) на об’єкті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30) відповідна схема виконана в доступних (візуально/</w:t>
            </w:r>
            <w:proofErr w:type="spellStart"/>
            <w:r>
              <w:rPr>
                <w:rStyle w:val="st42"/>
              </w:rPr>
              <w:t>тактильно</w:t>
            </w:r>
            <w:proofErr w:type="spellEnd"/>
            <w:r>
              <w:rPr>
                <w:rStyle w:val="st42"/>
              </w:rPr>
              <w:t>) форматах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31) у приміщенні, де надаються послуги, допоміжних приміщеннях на шляхах руху осіб з інвалідністю штучне освітлення відповідає вимогам санітарних норм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32) у приміщенні, де надаються послуги, допоміжних приміщеннях на шляхах руху осіб з інвалідністю немає предметів/перепон (горизонтальні та такі, що виступають над поверхнею підлоги, конструкції, пороги тощо)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33) ширина шляху руху в коридорах, приміщеннях, галереях на шляхах руху осіб з інвалідністю у чистоті не менш як 1,5 метра під час руху в одному напрямку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34) ширина шляху руху в коридорах, приміщеннях, галереях на шляхах руху осіб з інвалідністю у чистоті не менш як 1,8 метра зустрічного руху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35) ширина проходу в приміщенні з обладнанням і меблями не менш як 1,2 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36) висота об’єктів послуг (столи, стійкі, рецепція), а також пристроїв послуг (банкомати, термінали тощо) повинна становити не більше 0,9 метра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37) шляхи евакуації є доступними для осіб з інвалідністю, насамперед осіб, які пересуваються на кріслах колісних, мають порушення зору та слуху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38) інформація про евакуаційні виходи (шляхи руху) доступна для осіб з інвалідністю, насамперед осіб, які пересуваються на кріслах колісних, мають порушення зору та слуху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39) пристрої сповіщення про надзвичайну ситуацію адаптовані для сприйняття усіма особами з інвалідністю, насамперед особами, які пересуваються на кріслах колісних, мають порушення зору та слуху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4.</w:t>
            </w: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proofErr w:type="spellStart"/>
            <w:r>
              <w:rPr>
                <w:rStyle w:val="st42"/>
              </w:rPr>
              <w:t>Безбар’єрність</w:t>
            </w:r>
            <w:proofErr w:type="spellEnd"/>
            <w:r>
              <w:rPr>
                <w:rStyle w:val="st42"/>
              </w:rPr>
              <w:t xml:space="preserve"> послуг для осіб з інвалідністю: 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 xml:space="preserve">1) веб-сайти організації, що розміщена в об’єкті, є доступними для користувачів з порушеннями зору, слуху, опорно-рухового апарату, мовлення та інтелектуального </w:t>
            </w:r>
            <w:r>
              <w:rPr>
                <w:rStyle w:val="st42"/>
              </w:rPr>
              <w:lastRenderedPageBreak/>
              <w:t>розвитку, а також з різними комбінаціями порушень відповідно до ДСТУ ISO/IEC 40500:2015 “Інформаційні технології. Настанова з доступності веб-контенту W3C (WCAG) 2.0” не нижче рівня АА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blPrEx>
          <w:tblCellSpacing w:w="-6" w:type="dxa"/>
          <w:tblCellMar>
            <w:top w:w="12" w:type="dxa"/>
            <w:left w:w="12" w:type="dxa"/>
            <w:bottom w:w="12" w:type="dxa"/>
            <w:right w:w="12" w:type="dxa"/>
          </w:tblCellMar>
        </w:tblPrEx>
        <w:trPr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0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2) у штаті є (залучається) перекладач на жестову мову або укладено угоду про надання послуг з перекладу на жестову мову з юридичними (фізичними) особами чи передплачено надання відповідного перекладу через мобільні додатки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4"/>
              <w:rPr>
                <w:rStyle w:val="st42"/>
              </w:rPr>
            </w:pPr>
          </w:p>
        </w:tc>
      </w:tr>
      <w:tr w:rsidR="008E2EB3">
        <w:trPr>
          <w:gridAfter w:val="1"/>
          <w:wAfter w:w="90" w:type="dxa"/>
          <w:trHeight w:val="12"/>
          <w:tblCellSpacing w:w="0" w:type="dxa"/>
        </w:trPr>
        <w:tc>
          <w:tcPr>
            <w:tcW w:w="1653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Серед працюючих кількість осіб</w:t>
            </w: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966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12"/>
              <w:rPr>
                <w:rStyle w:val="st44"/>
              </w:rPr>
            </w:pPr>
          </w:p>
        </w:tc>
        <w:tc>
          <w:tcPr>
            <w:tcW w:w="5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12"/>
              <w:rPr>
                <w:rStyle w:val="st44"/>
              </w:rPr>
            </w:pPr>
          </w:p>
        </w:tc>
        <w:tc>
          <w:tcPr>
            <w:tcW w:w="2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Усього осіб з інвалідністю</w:t>
            </w:r>
          </w:p>
        </w:tc>
        <w:tc>
          <w:tcPr>
            <w:tcW w:w="77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З них</w:t>
            </w: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5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2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пересуваються на кріслах колісних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з порушенням зору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з порушенням слуху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мають інші порушення</w:t>
            </w: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96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Усього</w:t>
            </w:r>
          </w:p>
        </w:tc>
        <w:tc>
          <w:tcPr>
            <w:tcW w:w="213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5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з них жінки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1653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E2EB3" w:rsidRDefault="004D02AA">
            <w:pPr>
              <w:pStyle w:val="st12"/>
              <w:rPr>
                <w:rStyle w:val="st42"/>
              </w:rPr>
            </w:pPr>
            <w:r>
              <w:rPr>
                <w:rStyle w:val="st42"/>
              </w:rPr>
              <w:t>Серед відвідувачів/клієнтів/ тих, хто навчається з початку року, кількість осіб</w:t>
            </w: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966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5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12"/>
              <w:rPr>
                <w:rStyle w:val="st44"/>
              </w:rPr>
            </w:pPr>
          </w:p>
        </w:tc>
        <w:tc>
          <w:tcPr>
            <w:tcW w:w="2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Усього осіб з інвалідністю</w:t>
            </w:r>
          </w:p>
        </w:tc>
        <w:tc>
          <w:tcPr>
            <w:tcW w:w="77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З них</w:t>
            </w: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96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5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2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8E2EB3">
            <w:pPr>
              <w:pStyle w:val="st0"/>
              <w:spacing w:after="0"/>
              <w:ind w:left="0"/>
              <w:jc w:val="left"/>
              <w:rPr>
                <w:rStyle w:val="st161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пересуваються на кріслах колісних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з порушенням зору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з порушенням слуху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E2EB3" w:rsidRDefault="004D02AA">
            <w:pPr>
              <w:pStyle w:val="st12"/>
              <w:rPr>
                <w:rStyle w:val="st44"/>
              </w:rPr>
            </w:pPr>
            <w:r>
              <w:rPr>
                <w:rStyle w:val="st44"/>
              </w:rPr>
              <w:t>мають інші порушення</w:t>
            </w: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96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Усього</w:t>
            </w:r>
          </w:p>
        </w:tc>
        <w:tc>
          <w:tcPr>
            <w:tcW w:w="213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</w:tr>
      <w:tr w:rsidR="008E2EB3">
        <w:tblPrEx>
          <w:tblCellSpacing w:w="-6" w:type="dxa"/>
        </w:tblPrEx>
        <w:trPr>
          <w:gridAfter w:val="1"/>
          <w:wAfter w:w="90" w:type="dxa"/>
          <w:trHeight w:val="12"/>
          <w:tblCellSpacing w:w="-6" w:type="dxa"/>
        </w:trPr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5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4D02AA">
            <w:pPr>
              <w:pStyle w:val="st14"/>
              <w:rPr>
                <w:rStyle w:val="st42"/>
              </w:rPr>
            </w:pPr>
            <w:r>
              <w:rPr>
                <w:rStyle w:val="st42"/>
              </w:rPr>
              <w:t>з них жінки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EB3" w:rsidRDefault="008E2EB3">
            <w:pPr>
              <w:pStyle w:val="st12"/>
              <w:rPr>
                <w:rStyle w:val="st42"/>
              </w:rPr>
            </w:pPr>
          </w:p>
        </w:tc>
      </w:tr>
    </w:tbl>
    <w:p w:rsidR="008E2EB3" w:rsidRDefault="004D02AA">
      <w:pPr>
        <w:pStyle w:val="st14"/>
        <w:rPr>
          <w:rStyle w:val="st42"/>
        </w:rPr>
      </w:pPr>
      <w:r>
        <w:rPr>
          <w:rStyle w:val="st42"/>
        </w:rPr>
        <w:t>Підсумки ______________________________________________*</w:t>
      </w:r>
    </w:p>
    <w:p w:rsidR="00C62E00" w:rsidRDefault="00C62E00">
      <w:pPr>
        <w:pStyle w:val="st14"/>
        <w:rPr>
          <w:rStyle w:val="st42"/>
        </w:rPr>
      </w:pPr>
    </w:p>
    <w:p w:rsidR="008E2EB3" w:rsidRDefault="004D02AA">
      <w:pPr>
        <w:pStyle w:val="st8"/>
        <w:rPr>
          <w:rStyle w:val="st82"/>
        </w:rPr>
      </w:pPr>
      <w:r>
        <w:rPr>
          <w:rStyle w:val="st82"/>
        </w:rPr>
        <w:t>__________</w:t>
      </w:r>
      <w:r>
        <w:rPr>
          <w:rStyle w:val="st82"/>
        </w:rPr>
        <w:br/>
        <w:t>* Зазначається:</w:t>
      </w:r>
      <w:r>
        <w:rPr>
          <w:rStyle w:val="st82"/>
        </w:rPr>
        <w:br/>
        <w:t xml:space="preserve">об’єкт є </w:t>
      </w:r>
      <w:proofErr w:type="spellStart"/>
      <w:r>
        <w:rPr>
          <w:rStyle w:val="st82"/>
        </w:rPr>
        <w:t>безбар’єрним</w:t>
      </w:r>
      <w:proofErr w:type="spellEnd"/>
      <w:r>
        <w:rPr>
          <w:rStyle w:val="st82"/>
        </w:rPr>
        <w:t>. Людина, яка користується кріслом колісним або є незрячою, може самостійно зайти на об’єкт та вільно в ньому пересуватися та скористатися евакуаційним виходом. Такий об’єкт має вхідну групу в рівень з підлогою (або нормативний пандус чи підйомник), ширину всіх дверей не менше 90 сантиметрів, ліфт або підйомник (або бути одноповерховим), щонайменше одну доступну для осіб, які пересуваються на кріслах колісних, санітарно-гігієнічну кімнату із допоміжними поручнями біля унітазу, призначену для відвідувачів обох статей, тактильні направляючі та одну мнемосхему при вході;</w:t>
      </w:r>
      <w:r>
        <w:rPr>
          <w:rStyle w:val="st82"/>
        </w:rPr>
        <w:br/>
        <w:t xml:space="preserve">об’єкт має часткову </w:t>
      </w:r>
      <w:proofErr w:type="spellStart"/>
      <w:r>
        <w:rPr>
          <w:rStyle w:val="st82"/>
        </w:rPr>
        <w:t>безбар’єрність</w:t>
      </w:r>
      <w:proofErr w:type="spellEnd"/>
      <w:r>
        <w:rPr>
          <w:rStyle w:val="st82"/>
        </w:rPr>
        <w:t xml:space="preserve">. Людина, яка користується кріслом колісним або є незрячою, може самостійно зайти на об’єкт та вільно в ньому пересуватися. Такий об’єкт має вхідну групу в рівень з підлогою (чи нормативний пандус (або його кут має відхилення від нормативного не більш як на 10 відсотків), ширину всіх дверей або більшості </w:t>
      </w:r>
      <w:r>
        <w:rPr>
          <w:rStyle w:val="st82"/>
        </w:rPr>
        <w:lastRenderedPageBreak/>
        <w:t>80-89 сантиметрів, ліфт (або бути одноповерховим), щонайменше одну доступну для осіб, які пересуваються на кріслах колісних, санітарно-гігієнічну кімнату із допоміжними поручнями біля унітазу, що призначена для відвідувачів;</w:t>
      </w:r>
      <w:r w:rsidR="00BE0ABD">
        <w:rPr>
          <w:rStyle w:val="st82"/>
          <w:lang w:val="uk-UA"/>
        </w:rPr>
        <w:t xml:space="preserve"> </w:t>
      </w:r>
      <w:r>
        <w:rPr>
          <w:rStyle w:val="st82"/>
        </w:rPr>
        <w:t>об’єкт є бар’єрним. Всі інші об’єкти, крім тих, що належать до першого та другого рівня.</w:t>
      </w:r>
    </w:p>
    <w:p w:rsidR="008E2EB3" w:rsidRDefault="004D02AA">
      <w:pPr>
        <w:pStyle w:val="st14"/>
        <w:rPr>
          <w:rStyle w:val="st42"/>
        </w:rPr>
      </w:pPr>
      <w:r>
        <w:rPr>
          <w:rStyle w:val="st42"/>
        </w:rPr>
        <w:t>Управитель об’єкта ____________________________________</w:t>
      </w:r>
    </w:p>
    <w:p w:rsidR="004D02AA" w:rsidRDefault="004D02AA">
      <w:pPr>
        <w:pStyle w:val="st14"/>
        <w:rPr>
          <w:rStyle w:val="st42"/>
        </w:rPr>
      </w:pPr>
      <w:r>
        <w:rPr>
          <w:rStyle w:val="st42"/>
        </w:rPr>
        <w:t>“___” _______________ 20  р.</w:t>
      </w:r>
    </w:p>
    <w:sectPr w:rsidR="004D02AA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ABD"/>
    <w:rsid w:val="004D02AA"/>
    <w:rsid w:val="008E2EB3"/>
    <w:rsid w:val="00A26BE9"/>
    <w:rsid w:val="00AB1DD6"/>
    <w:rsid w:val="00BE0ABD"/>
    <w:rsid w:val="00C60A2E"/>
    <w:rsid w:val="00C62E00"/>
    <w:rsid w:val="00DD40AD"/>
    <w:rsid w:val="00F3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79BBAD0B-0C3E-4B51-8CDB-61449A67A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0">
    <w:name w:val="st0"/>
    <w:pPr>
      <w:widowControl w:val="0"/>
      <w:autoSpaceDE w:val="0"/>
      <w:autoSpaceDN w:val="0"/>
      <w:adjustRightInd w:val="0"/>
      <w:spacing w:after="120" w:line="240" w:lineRule="auto"/>
      <w:ind w:left="360"/>
      <w:jc w:val="both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">
    <w:name w:val="st1"/>
    <w:uiPriority w:val="99"/>
    <w:pPr>
      <w:widowControl w:val="0"/>
      <w:autoSpaceDE w:val="0"/>
      <w:autoSpaceDN w:val="0"/>
      <w:adjustRightInd w:val="0"/>
      <w:spacing w:before="120" w:after="0" w:line="240" w:lineRule="auto"/>
      <w:jc w:val="center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2">
    <w:name w:val="st2"/>
    <w:uiPriority w:val="99"/>
    <w:pPr>
      <w:widowControl w:val="0"/>
      <w:autoSpaceDE w:val="0"/>
      <w:autoSpaceDN w:val="0"/>
      <w:adjustRightInd w:val="0"/>
      <w:spacing w:after="120" w:line="240" w:lineRule="auto"/>
      <w:ind w:firstLine="360"/>
      <w:jc w:val="both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3">
    <w:name w:val="st3"/>
    <w:uiPriority w:val="99"/>
    <w:pPr>
      <w:widowControl w:val="0"/>
      <w:autoSpaceDE w:val="0"/>
      <w:autoSpaceDN w:val="0"/>
      <w:adjustRightInd w:val="0"/>
      <w:spacing w:after="120" w:line="240" w:lineRule="auto"/>
      <w:ind w:left="360" w:right="360"/>
      <w:jc w:val="center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4">
    <w:name w:val="st4"/>
    <w:uiPriority w:val="99"/>
    <w:pPr>
      <w:widowControl w:val="0"/>
      <w:autoSpaceDE w:val="0"/>
      <w:autoSpaceDN w:val="0"/>
      <w:adjustRightInd w:val="0"/>
      <w:spacing w:before="240" w:after="120" w:line="240" w:lineRule="auto"/>
      <w:jc w:val="center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5">
    <w:name w:val="st5"/>
    <w:uiPriority w:val="99"/>
    <w:pPr>
      <w:widowControl w:val="0"/>
      <w:autoSpaceDE w:val="0"/>
      <w:autoSpaceDN w:val="0"/>
      <w:adjustRightInd w:val="0"/>
      <w:spacing w:after="0" w:line="240" w:lineRule="auto"/>
      <w:ind w:left="360" w:right="360"/>
      <w:jc w:val="center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6">
    <w:name w:val="st6"/>
    <w:uiPriority w:val="99"/>
    <w:pPr>
      <w:widowControl w:val="0"/>
      <w:autoSpaceDE w:val="0"/>
      <w:autoSpaceDN w:val="0"/>
      <w:adjustRightInd w:val="0"/>
      <w:spacing w:before="240" w:after="360" w:line="240" w:lineRule="auto"/>
      <w:ind w:left="360" w:right="360"/>
      <w:jc w:val="center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7">
    <w:name w:val="st7"/>
    <w:uiPriority w:val="99"/>
    <w:pPr>
      <w:widowControl w:val="0"/>
      <w:autoSpaceDE w:val="0"/>
      <w:autoSpaceDN w:val="0"/>
      <w:adjustRightInd w:val="0"/>
      <w:spacing w:before="120" w:after="120" w:line="240" w:lineRule="auto"/>
      <w:ind w:left="360" w:right="360"/>
      <w:jc w:val="center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8">
    <w:name w:val="st8"/>
    <w:uiPriority w:val="99"/>
    <w:pPr>
      <w:widowControl w:val="0"/>
      <w:autoSpaceDE w:val="0"/>
      <w:autoSpaceDN w:val="0"/>
      <w:adjustRightInd w:val="0"/>
      <w:spacing w:after="12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9">
    <w:name w:val="st9"/>
    <w:uiPriority w:val="99"/>
    <w:pPr>
      <w:widowControl w:val="0"/>
      <w:autoSpaceDE w:val="0"/>
      <w:autoSpaceDN w:val="0"/>
      <w:adjustRightInd w:val="0"/>
      <w:spacing w:after="120" w:line="240" w:lineRule="auto"/>
      <w:ind w:left="72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0">
    <w:name w:val="st10"/>
    <w:uiPriority w:val="99"/>
    <w:pPr>
      <w:widowControl w:val="0"/>
      <w:autoSpaceDE w:val="0"/>
      <w:autoSpaceDN w:val="0"/>
      <w:adjustRightInd w:val="0"/>
      <w:spacing w:after="120" w:line="240" w:lineRule="auto"/>
      <w:jc w:val="right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1">
    <w:name w:val="st11"/>
    <w:uiPriority w:val="99"/>
    <w:pPr>
      <w:widowControl w:val="0"/>
      <w:autoSpaceDE w:val="0"/>
      <w:autoSpaceDN w:val="0"/>
      <w:adjustRightInd w:val="0"/>
      <w:spacing w:before="120" w:after="120" w:line="240" w:lineRule="auto"/>
      <w:jc w:val="right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2">
    <w:name w:val="st12"/>
    <w:uiPriority w:val="99"/>
    <w:pPr>
      <w:widowControl w:val="0"/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3">
    <w:name w:val="st13"/>
    <w:uiPriority w:val="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4">
    <w:name w:val="st14"/>
    <w:uiPriority w:val="99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5">
    <w:name w:val="st15"/>
    <w:uiPriority w:val="99"/>
    <w:pPr>
      <w:widowControl w:val="0"/>
      <w:autoSpaceDE w:val="0"/>
      <w:autoSpaceDN w:val="0"/>
      <w:adjustRightInd w:val="0"/>
      <w:spacing w:before="240" w:after="0" w:line="240" w:lineRule="auto"/>
      <w:jc w:val="right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6">
    <w:name w:val="st16"/>
    <w:uiPriority w:val="99"/>
    <w:pPr>
      <w:widowControl w:val="0"/>
      <w:autoSpaceDE w:val="0"/>
      <w:autoSpaceDN w:val="0"/>
      <w:adjustRightInd w:val="0"/>
      <w:spacing w:before="240" w:after="0" w:line="240" w:lineRule="auto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7">
    <w:name w:val="st17"/>
    <w:uiPriority w:val="99"/>
    <w:pPr>
      <w:widowControl w:val="0"/>
      <w:autoSpaceDE w:val="0"/>
      <w:autoSpaceDN w:val="0"/>
      <w:adjustRightInd w:val="0"/>
      <w:spacing w:before="240" w:after="0" w:line="360" w:lineRule="auto"/>
      <w:ind w:left="360" w:right="360"/>
      <w:jc w:val="center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st18">
    <w:name w:val="st18"/>
    <w:uiPriority w:val="99"/>
    <w:pPr>
      <w:widowControl w:val="0"/>
      <w:autoSpaceDE w:val="0"/>
      <w:autoSpaceDN w:val="0"/>
      <w:adjustRightInd w:val="0"/>
      <w:spacing w:before="120" w:after="240" w:line="240" w:lineRule="auto"/>
      <w:ind w:left="360" w:right="360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st42">
    <w:name w:val="st42"/>
    <w:uiPriority w:val="99"/>
    <w:rPr>
      <w:color w:val="000000"/>
    </w:rPr>
  </w:style>
  <w:style w:type="character" w:customStyle="1" w:styleId="st110">
    <w:name w:val="st110"/>
    <w:uiPriority w:val="99"/>
    <w:rPr>
      <w:rFonts w:ascii="Courier New" w:hAnsi="Courier New" w:cs="Courier New"/>
      <w:color w:val="0000FF"/>
    </w:rPr>
  </w:style>
  <w:style w:type="character" w:customStyle="1" w:styleId="st310">
    <w:name w:val="st310"/>
    <w:uiPriority w:val="99"/>
    <w:rPr>
      <w:rFonts w:ascii="Courier New" w:hAnsi="Courier New" w:cs="Courier New"/>
      <w:b/>
      <w:bCs/>
      <w:color w:val="0000FF"/>
    </w:rPr>
  </w:style>
  <w:style w:type="character" w:customStyle="1" w:styleId="st410">
    <w:name w:val="st410"/>
    <w:uiPriority w:val="99"/>
    <w:rPr>
      <w:rFonts w:ascii="Courier New" w:hAnsi="Courier New" w:cs="Courier New"/>
      <w:i/>
      <w:iCs/>
      <w:color w:val="000000"/>
    </w:rPr>
  </w:style>
  <w:style w:type="character" w:customStyle="1" w:styleId="st510">
    <w:name w:val="st510"/>
    <w:uiPriority w:val="99"/>
    <w:rPr>
      <w:rFonts w:ascii="Courier New" w:hAnsi="Courier New" w:cs="Courier New"/>
      <w:i/>
      <w:iCs/>
      <w:color w:val="0000FF"/>
    </w:rPr>
  </w:style>
  <w:style w:type="character" w:customStyle="1" w:styleId="st610">
    <w:name w:val="st610"/>
    <w:uiPriority w:val="99"/>
    <w:rPr>
      <w:rFonts w:ascii="Courier New" w:hAnsi="Courier New" w:cs="Courier New"/>
      <w:b/>
      <w:bCs/>
      <w:i/>
      <w:iCs/>
      <w:color w:val="000000"/>
    </w:rPr>
  </w:style>
  <w:style w:type="character" w:customStyle="1" w:styleId="st710">
    <w:name w:val="st710"/>
    <w:uiPriority w:val="99"/>
    <w:rPr>
      <w:rFonts w:ascii="Courier New" w:hAnsi="Courier New" w:cs="Courier New"/>
      <w:b/>
      <w:bCs/>
      <w:i/>
      <w:iCs/>
      <w:color w:val="0000FF"/>
    </w:rPr>
  </w:style>
  <w:style w:type="character" w:customStyle="1" w:styleId="st810">
    <w:name w:val="st810"/>
    <w:uiPriority w:val="99"/>
    <w:rPr>
      <w:color w:val="000000"/>
    </w:rPr>
  </w:style>
  <w:style w:type="character" w:customStyle="1" w:styleId="st910">
    <w:name w:val="st910"/>
    <w:uiPriority w:val="99"/>
    <w:rPr>
      <w:color w:val="0000FF"/>
    </w:rPr>
  </w:style>
  <w:style w:type="character" w:customStyle="1" w:styleId="st102">
    <w:name w:val="st102"/>
    <w:uiPriority w:val="99"/>
    <w:rPr>
      <w:b/>
      <w:bCs/>
      <w:color w:val="000000"/>
    </w:rPr>
  </w:style>
  <w:style w:type="character" w:customStyle="1" w:styleId="st111">
    <w:name w:val="st111"/>
    <w:uiPriority w:val="99"/>
    <w:rPr>
      <w:b/>
      <w:bCs/>
      <w:color w:val="0000FF"/>
    </w:rPr>
  </w:style>
  <w:style w:type="character" w:customStyle="1" w:styleId="st121">
    <w:name w:val="st121"/>
    <w:uiPriority w:val="99"/>
    <w:rPr>
      <w:i/>
      <w:iCs/>
      <w:color w:val="000000"/>
    </w:rPr>
  </w:style>
  <w:style w:type="character" w:customStyle="1" w:styleId="st131">
    <w:name w:val="st131"/>
    <w:uiPriority w:val="99"/>
    <w:rPr>
      <w:i/>
      <w:iCs/>
      <w:color w:val="0000FF"/>
    </w:rPr>
  </w:style>
  <w:style w:type="character" w:customStyle="1" w:styleId="st141">
    <w:name w:val="st141"/>
    <w:uiPriority w:val="99"/>
    <w:rPr>
      <w:color w:val="000000"/>
      <w:sz w:val="28"/>
      <w:szCs w:val="28"/>
    </w:rPr>
  </w:style>
  <w:style w:type="character" w:customStyle="1" w:styleId="st151">
    <w:name w:val="st151"/>
    <w:uiPriority w:val="99"/>
    <w:rPr>
      <w:color w:val="0000FF"/>
      <w:sz w:val="28"/>
      <w:szCs w:val="28"/>
    </w:rPr>
  </w:style>
  <w:style w:type="character" w:customStyle="1" w:styleId="st161">
    <w:name w:val="st161"/>
    <w:uiPriority w:val="99"/>
    <w:rPr>
      <w:b/>
      <w:bCs/>
      <w:color w:val="000000"/>
      <w:sz w:val="28"/>
      <w:szCs w:val="28"/>
    </w:rPr>
  </w:style>
  <w:style w:type="character" w:customStyle="1" w:styleId="st171">
    <w:name w:val="st171"/>
    <w:uiPriority w:val="99"/>
    <w:rPr>
      <w:b/>
      <w:bCs/>
      <w:color w:val="0000FF"/>
      <w:sz w:val="28"/>
      <w:szCs w:val="28"/>
    </w:rPr>
  </w:style>
  <w:style w:type="character" w:customStyle="1" w:styleId="st181">
    <w:name w:val="st181"/>
    <w:uiPriority w:val="99"/>
    <w:rPr>
      <w:i/>
      <w:iCs/>
      <w:color w:val="000000"/>
      <w:sz w:val="28"/>
      <w:szCs w:val="28"/>
    </w:rPr>
  </w:style>
  <w:style w:type="character" w:customStyle="1" w:styleId="st19">
    <w:name w:val="st19"/>
    <w:uiPriority w:val="99"/>
    <w:rPr>
      <w:i/>
      <w:iCs/>
      <w:color w:val="0000FF"/>
      <w:sz w:val="28"/>
      <w:szCs w:val="28"/>
    </w:rPr>
  </w:style>
  <w:style w:type="character" w:customStyle="1" w:styleId="st20">
    <w:name w:val="st20"/>
    <w:uiPriority w:val="99"/>
    <w:rPr>
      <w:b/>
      <w:bCs/>
      <w:i/>
      <w:iCs/>
      <w:color w:val="000000"/>
      <w:sz w:val="28"/>
      <w:szCs w:val="28"/>
    </w:rPr>
  </w:style>
  <w:style w:type="character" w:customStyle="1" w:styleId="st21">
    <w:name w:val="st21"/>
    <w:uiPriority w:val="99"/>
    <w:rPr>
      <w:b/>
      <w:bCs/>
      <w:i/>
      <w:iCs/>
      <w:color w:val="0000FF"/>
      <w:sz w:val="28"/>
      <w:szCs w:val="28"/>
    </w:rPr>
  </w:style>
  <w:style w:type="character" w:customStyle="1" w:styleId="st22">
    <w:name w:val="st22"/>
    <w:uiPriority w:val="99"/>
    <w:rPr>
      <w:color w:val="000000"/>
      <w:sz w:val="32"/>
      <w:szCs w:val="32"/>
    </w:rPr>
  </w:style>
  <w:style w:type="character" w:customStyle="1" w:styleId="st23">
    <w:name w:val="st23"/>
    <w:uiPriority w:val="99"/>
    <w:rPr>
      <w:color w:val="0000FF"/>
      <w:sz w:val="32"/>
      <w:szCs w:val="32"/>
    </w:rPr>
  </w:style>
  <w:style w:type="character" w:customStyle="1" w:styleId="st24">
    <w:name w:val="st24"/>
    <w:uiPriority w:val="99"/>
    <w:rPr>
      <w:b/>
      <w:bCs/>
      <w:color w:val="000000"/>
      <w:sz w:val="32"/>
      <w:szCs w:val="32"/>
    </w:rPr>
  </w:style>
  <w:style w:type="character" w:customStyle="1" w:styleId="st25">
    <w:name w:val="st25"/>
    <w:uiPriority w:val="99"/>
    <w:rPr>
      <w:b/>
      <w:bCs/>
      <w:color w:val="0000FF"/>
      <w:sz w:val="32"/>
      <w:szCs w:val="32"/>
    </w:rPr>
  </w:style>
  <w:style w:type="character" w:customStyle="1" w:styleId="st26">
    <w:name w:val="st26"/>
    <w:uiPriority w:val="99"/>
    <w:rPr>
      <w:i/>
      <w:iCs/>
      <w:color w:val="000000"/>
      <w:sz w:val="32"/>
      <w:szCs w:val="32"/>
    </w:rPr>
  </w:style>
  <w:style w:type="character" w:customStyle="1" w:styleId="st27">
    <w:name w:val="st27"/>
    <w:uiPriority w:val="99"/>
    <w:rPr>
      <w:i/>
      <w:iCs/>
      <w:color w:val="0000FF"/>
      <w:sz w:val="32"/>
      <w:szCs w:val="32"/>
    </w:rPr>
  </w:style>
  <w:style w:type="character" w:customStyle="1" w:styleId="st28">
    <w:name w:val="st28"/>
    <w:uiPriority w:val="99"/>
    <w:rPr>
      <w:b/>
      <w:bCs/>
      <w:i/>
      <w:iCs/>
      <w:color w:val="000000"/>
      <w:sz w:val="32"/>
      <w:szCs w:val="32"/>
    </w:rPr>
  </w:style>
  <w:style w:type="character" w:customStyle="1" w:styleId="st29">
    <w:name w:val="st29"/>
    <w:uiPriority w:val="99"/>
    <w:rPr>
      <w:b/>
      <w:bCs/>
      <w:i/>
      <w:iCs/>
      <w:color w:val="0000FF"/>
      <w:sz w:val="32"/>
      <w:szCs w:val="32"/>
    </w:rPr>
  </w:style>
  <w:style w:type="character" w:customStyle="1" w:styleId="st32">
    <w:name w:val="st32"/>
    <w:uiPriority w:val="99"/>
    <w:rPr>
      <w:rFonts w:ascii="Courier New" w:hAnsi="Courier New" w:cs="Courier New"/>
      <w:b/>
      <w:bCs/>
      <w:color w:val="000000"/>
      <w:spacing w:val="24"/>
    </w:rPr>
  </w:style>
  <w:style w:type="character" w:customStyle="1" w:styleId="st33">
    <w:name w:val="st33"/>
    <w:uiPriority w:val="99"/>
    <w:rPr>
      <w:rFonts w:ascii="Courier New" w:hAnsi="Courier New" w:cs="Courier New"/>
      <w:b/>
      <w:bCs/>
      <w:color w:val="0000FF"/>
      <w:spacing w:val="24"/>
    </w:rPr>
  </w:style>
  <w:style w:type="character" w:customStyle="1" w:styleId="st34">
    <w:name w:val="st34"/>
    <w:uiPriority w:val="99"/>
    <w:rPr>
      <w:rFonts w:ascii="Courier New" w:hAnsi="Courier New" w:cs="Courier New"/>
      <w:color w:val="000000"/>
      <w:spacing w:val="24"/>
    </w:rPr>
  </w:style>
  <w:style w:type="character" w:customStyle="1" w:styleId="st35">
    <w:name w:val="st35"/>
    <w:uiPriority w:val="99"/>
    <w:rPr>
      <w:rFonts w:ascii="Courier New" w:hAnsi="Courier New" w:cs="Courier New"/>
      <w:color w:val="0000FF"/>
      <w:spacing w:val="24"/>
    </w:rPr>
  </w:style>
  <w:style w:type="character" w:customStyle="1" w:styleId="st36">
    <w:name w:val="st36"/>
    <w:uiPriority w:val="99"/>
    <w:rPr>
      <w:rFonts w:ascii="Courier New" w:hAnsi="Courier New" w:cs="Courier New"/>
      <w:i/>
      <w:iCs/>
      <w:color w:val="000000"/>
      <w:spacing w:val="24"/>
    </w:rPr>
  </w:style>
  <w:style w:type="character" w:customStyle="1" w:styleId="st37">
    <w:name w:val="st37"/>
    <w:uiPriority w:val="99"/>
    <w:rPr>
      <w:rFonts w:ascii="Courier New" w:hAnsi="Courier New" w:cs="Courier New"/>
      <w:i/>
      <w:iCs/>
      <w:color w:val="0000FF"/>
      <w:spacing w:val="24"/>
    </w:rPr>
  </w:style>
  <w:style w:type="character" w:customStyle="1" w:styleId="st38">
    <w:name w:val="st38"/>
    <w:uiPriority w:val="99"/>
    <w:rPr>
      <w:rFonts w:ascii="Courier New" w:hAnsi="Courier New" w:cs="Courier New"/>
      <w:b/>
      <w:bCs/>
      <w:i/>
      <w:iCs/>
      <w:color w:val="000000"/>
      <w:spacing w:val="24"/>
    </w:rPr>
  </w:style>
  <w:style w:type="character" w:customStyle="1" w:styleId="st39">
    <w:name w:val="st39"/>
    <w:uiPriority w:val="99"/>
    <w:rPr>
      <w:rFonts w:ascii="Courier New" w:hAnsi="Courier New" w:cs="Courier New"/>
      <w:b/>
      <w:bCs/>
      <w:i/>
      <w:iCs/>
      <w:color w:val="0000FF"/>
      <w:spacing w:val="24"/>
    </w:rPr>
  </w:style>
  <w:style w:type="character" w:customStyle="1" w:styleId="st30">
    <w:name w:val="st30"/>
    <w:uiPriority w:val="99"/>
    <w:rPr>
      <w:b/>
      <w:bCs/>
      <w:color w:val="000000"/>
      <w:sz w:val="32"/>
      <w:szCs w:val="32"/>
      <w:vertAlign w:val="superscript"/>
    </w:rPr>
  </w:style>
  <w:style w:type="character" w:customStyle="1" w:styleId="st31">
    <w:name w:val="st31"/>
    <w:uiPriority w:val="99"/>
    <w:rPr>
      <w:b/>
      <w:bCs/>
      <w:color w:val="0000FF"/>
      <w:sz w:val="32"/>
      <w:szCs w:val="32"/>
      <w:vertAlign w:val="superscript"/>
    </w:rPr>
  </w:style>
  <w:style w:type="character" w:customStyle="1" w:styleId="st210">
    <w:name w:val="st210"/>
    <w:uiPriority w:val="99"/>
    <w:rPr>
      <w:rFonts w:ascii="Courier New" w:hAnsi="Courier New" w:cs="Courier New"/>
      <w:b/>
      <w:bCs/>
      <w:color w:val="000000"/>
    </w:rPr>
  </w:style>
  <w:style w:type="character" w:customStyle="1" w:styleId="st40">
    <w:name w:val="st40"/>
    <w:uiPriority w:val="99"/>
    <w:rPr>
      <w:b/>
      <w:bCs/>
      <w:color w:val="000000"/>
      <w:sz w:val="32"/>
      <w:szCs w:val="32"/>
      <w:vertAlign w:val="subscript"/>
    </w:rPr>
  </w:style>
  <w:style w:type="character" w:customStyle="1" w:styleId="st41">
    <w:name w:val="st41"/>
    <w:uiPriority w:val="99"/>
    <w:rPr>
      <w:b/>
      <w:bCs/>
      <w:color w:val="0000FF"/>
      <w:sz w:val="32"/>
      <w:szCs w:val="32"/>
      <w:vertAlign w:val="subscript"/>
    </w:rPr>
  </w:style>
  <w:style w:type="character" w:customStyle="1" w:styleId="st01">
    <w:name w:val="st01"/>
    <w:uiPriority w:val="99"/>
    <w:rPr>
      <w:rFonts w:ascii="Courier New" w:hAnsi="Courier New" w:cs="Courier New"/>
      <w:color w:val="000000"/>
    </w:rPr>
  </w:style>
  <w:style w:type="character" w:customStyle="1" w:styleId="st43">
    <w:name w:val="st43"/>
    <w:uiPriority w:val="99"/>
    <w:rPr>
      <w:color w:val="0000FF"/>
    </w:rPr>
  </w:style>
  <w:style w:type="character" w:customStyle="1" w:styleId="st44">
    <w:name w:val="st44"/>
    <w:uiPriority w:val="99"/>
    <w:rPr>
      <w:b/>
      <w:bCs/>
      <w:color w:val="000000"/>
    </w:rPr>
  </w:style>
  <w:style w:type="character" w:customStyle="1" w:styleId="st45">
    <w:name w:val="st45"/>
    <w:uiPriority w:val="99"/>
    <w:rPr>
      <w:b/>
      <w:bCs/>
      <w:color w:val="0000FF"/>
    </w:rPr>
  </w:style>
  <w:style w:type="character" w:customStyle="1" w:styleId="st46">
    <w:name w:val="st46"/>
    <w:uiPriority w:val="99"/>
    <w:rPr>
      <w:i/>
      <w:iCs/>
      <w:color w:val="000000"/>
    </w:rPr>
  </w:style>
  <w:style w:type="character" w:customStyle="1" w:styleId="st47">
    <w:name w:val="st47"/>
    <w:uiPriority w:val="99"/>
    <w:rPr>
      <w:i/>
      <w:iCs/>
      <w:color w:val="0000FF"/>
    </w:rPr>
  </w:style>
  <w:style w:type="character" w:customStyle="1" w:styleId="st48">
    <w:name w:val="st48"/>
    <w:uiPriority w:val="99"/>
    <w:rPr>
      <w:b/>
      <w:bCs/>
      <w:i/>
      <w:iCs/>
      <w:color w:val="000000"/>
    </w:rPr>
  </w:style>
  <w:style w:type="character" w:customStyle="1" w:styleId="st49">
    <w:name w:val="st49"/>
    <w:uiPriority w:val="99"/>
    <w:rPr>
      <w:b/>
      <w:bCs/>
      <w:i/>
      <w:iCs/>
      <w:color w:val="0000FF"/>
    </w:rPr>
  </w:style>
  <w:style w:type="character" w:customStyle="1" w:styleId="st50">
    <w:name w:val="st50"/>
    <w:uiPriority w:val="99"/>
    <w:rPr>
      <w:color w:val="000000"/>
      <w:spacing w:val="24"/>
    </w:rPr>
  </w:style>
  <w:style w:type="character" w:customStyle="1" w:styleId="st51">
    <w:name w:val="st51"/>
    <w:uiPriority w:val="99"/>
    <w:rPr>
      <w:color w:val="0000FF"/>
      <w:spacing w:val="24"/>
    </w:rPr>
  </w:style>
  <w:style w:type="character" w:customStyle="1" w:styleId="st52">
    <w:name w:val="st52"/>
    <w:uiPriority w:val="99"/>
    <w:rPr>
      <w:b/>
      <w:bCs/>
      <w:color w:val="000000"/>
      <w:spacing w:val="24"/>
    </w:rPr>
  </w:style>
  <w:style w:type="character" w:customStyle="1" w:styleId="st53">
    <w:name w:val="st53"/>
    <w:uiPriority w:val="99"/>
    <w:rPr>
      <w:b/>
      <w:bCs/>
      <w:color w:val="0000FF"/>
      <w:spacing w:val="24"/>
    </w:rPr>
  </w:style>
  <w:style w:type="character" w:customStyle="1" w:styleId="st54">
    <w:name w:val="st54"/>
    <w:uiPriority w:val="99"/>
    <w:rPr>
      <w:i/>
      <w:iCs/>
      <w:color w:val="000000"/>
      <w:spacing w:val="24"/>
    </w:rPr>
  </w:style>
  <w:style w:type="character" w:customStyle="1" w:styleId="st55">
    <w:name w:val="st55"/>
    <w:uiPriority w:val="99"/>
    <w:rPr>
      <w:i/>
      <w:iCs/>
      <w:color w:val="0000FF"/>
      <w:spacing w:val="24"/>
    </w:rPr>
  </w:style>
  <w:style w:type="character" w:customStyle="1" w:styleId="st56">
    <w:name w:val="st56"/>
    <w:uiPriority w:val="99"/>
    <w:rPr>
      <w:b/>
      <w:bCs/>
      <w:i/>
      <w:iCs/>
      <w:color w:val="000000"/>
      <w:spacing w:val="24"/>
    </w:rPr>
  </w:style>
  <w:style w:type="character" w:customStyle="1" w:styleId="st57">
    <w:name w:val="st57"/>
    <w:uiPriority w:val="99"/>
    <w:rPr>
      <w:b/>
      <w:bCs/>
      <w:i/>
      <w:iCs/>
      <w:color w:val="0000FF"/>
      <w:spacing w:val="24"/>
    </w:rPr>
  </w:style>
  <w:style w:type="character" w:customStyle="1" w:styleId="st58">
    <w:name w:val="st58"/>
    <w:uiPriority w:val="99"/>
    <w:rPr>
      <w:color w:val="000000"/>
      <w:sz w:val="16"/>
      <w:szCs w:val="16"/>
    </w:rPr>
  </w:style>
  <w:style w:type="character" w:customStyle="1" w:styleId="st59">
    <w:name w:val="st59"/>
    <w:uiPriority w:val="99"/>
    <w:rPr>
      <w:color w:val="0000FF"/>
      <w:sz w:val="16"/>
      <w:szCs w:val="16"/>
    </w:rPr>
  </w:style>
  <w:style w:type="character" w:customStyle="1" w:styleId="st60">
    <w:name w:val="st60"/>
    <w:uiPriority w:val="99"/>
    <w:rPr>
      <w:rFonts w:ascii="Courier New" w:hAnsi="Courier New" w:cs="Courier New"/>
      <w:color w:val="000000"/>
      <w:sz w:val="16"/>
      <w:szCs w:val="16"/>
    </w:rPr>
  </w:style>
  <w:style w:type="character" w:customStyle="1" w:styleId="st61">
    <w:name w:val="st61"/>
    <w:uiPriority w:val="99"/>
    <w:rPr>
      <w:rFonts w:ascii="Courier New" w:hAnsi="Courier New" w:cs="Courier New"/>
      <w:color w:val="0000FF"/>
      <w:sz w:val="16"/>
      <w:szCs w:val="16"/>
    </w:rPr>
  </w:style>
  <w:style w:type="character" w:customStyle="1" w:styleId="st62">
    <w:name w:val="st62"/>
    <w:uiPriority w:val="99"/>
    <w:rPr>
      <w:b/>
      <w:bCs/>
      <w:color w:val="000000"/>
      <w:spacing w:val="48"/>
      <w:sz w:val="32"/>
      <w:szCs w:val="32"/>
    </w:rPr>
  </w:style>
  <w:style w:type="character" w:customStyle="1" w:styleId="st63">
    <w:name w:val="st63"/>
    <w:uiPriority w:val="99"/>
    <w:rPr>
      <w:b/>
      <w:bCs/>
      <w:color w:val="0000FF"/>
      <w:spacing w:val="48"/>
      <w:sz w:val="32"/>
      <w:szCs w:val="32"/>
    </w:rPr>
  </w:style>
  <w:style w:type="character" w:customStyle="1" w:styleId="st64">
    <w:name w:val="st64"/>
    <w:uiPriority w:val="99"/>
    <w:rPr>
      <w:b/>
      <w:bCs/>
      <w:color w:val="000000"/>
      <w:sz w:val="36"/>
      <w:szCs w:val="36"/>
    </w:rPr>
  </w:style>
  <w:style w:type="character" w:customStyle="1" w:styleId="st65">
    <w:name w:val="st65"/>
    <w:uiPriority w:val="99"/>
    <w:rPr>
      <w:b/>
      <w:bCs/>
      <w:color w:val="0000FF"/>
      <w:sz w:val="36"/>
      <w:szCs w:val="36"/>
    </w:rPr>
  </w:style>
  <w:style w:type="character" w:customStyle="1" w:styleId="st66">
    <w:name w:val="st66"/>
    <w:uiPriority w:val="99"/>
    <w:rPr>
      <w:b/>
      <w:bCs/>
      <w:i/>
      <w:iCs/>
      <w:color w:val="000000"/>
      <w:sz w:val="36"/>
      <w:szCs w:val="36"/>
    </w:rPr>
  </w:style>
  <w:style w:type="character" w:customStyle="1" w:styleId="st67">
    <w:name w:val="st67"/>
    <w:uiPriority w:val="99"/>
    <w:rPr>
      <w:b/>
      <w:bCs/>
      <w:i/>
      <w:iCs/>
      <w:color w:val="0000FF"/>
      <w:sz w:val="36"/>
      <w:szCs w:val="36"/>
    </w:rPr>
  </w:style>
  <w:style w:type="character" w:customStyle="1" w:styleId="st68">
    <w:name w:val="st68"/>
    <w:uiPriority w:val="99"/>
    <w:rPr>
      <w:b/>
      <w:bCs/>
      <w:color w:val="000000"/>
      <w:spacing w:val="48"/>
      <w:sz w:val="36"/>
      <w:szCs w:val="36"/>
    </w:rPr>
  </w:style>
  <w:style w:type="character" w:customStyle="1" w:styleId="st69">
    <w:name w:val="st69"/>
    <w:uiPriority w:val="99"/>
    <w:rPr>
      <w:b/>
      <w:bCs/>
      <w:color w:val="0000FF"/>
      <w:spacing w:val="48"/>
      <w:sz w:val="36"/>
      <w:szCs w:val="36"/>
    </w:rPr>
  </w:style>
  <w:style w:type="character" w:customStyle="1" w:styleId="st70">
    <w:name w:val="st70"/>
    <w:uiPriority w:val="99"/>
    <w:rPr>
      <w:b/>
      <w:bCs/>
      <w:i/>
      <w:iCs/>
      <w:color w:val="000000"/>
      <w:spacing w:val="48"/>
      <w:sz w:val="36"/>
      <w:szCs w:val="36"/>
    </w:rPr>
  </w:style>
  <w:style w:type="character" w:customStyle="1" w:styleId="st71">
    <w:name w:val="st71"/>
    <w:uiPriority w:val="99"/>
    <w:rPr>
      <w:b/>
      <w:bCs/>
      <w:i/>
      <w:iCs/>
      <w:color w:val="0000FF"/>
      <w:spacing w:val="48"/>
      <w:sz w:val="36"/>
      <w:szCs w:val="36"/>
    </w:rPr>
  </w:style>
  <w:style w:type="character" w:customStyle="1" w:styleId="st72">
    <w:name w:val="st72"/>
    <w:uiPriority w:val="99"/>
    <w:rPr>
      <w:b/>
      <w:bCs/>
      <w:color w:val="000000"/>
      <w:sz w:val="40"/>
      <w:szCs w:val="40"/>
    </w:rPr>
  </w:style>
  <w:style w:type="character" w:customStyle="1" w:styleId="st73">
    <w:name w:val="st73"/>
    <w:uiPriority w:val="99"/>
    <w:rPr>
      <w:b/>
      <w:bCs/>
      <w:color w:val="0000FF"/>
      <w:sz w:val="40"/>
      <w:szCs w:val="40"/>
    </w:rPr>
  </w:style>
  <w:style w:type="character" w:customStyle="1" w:styleId="st74">
    <w:name w:val="st74"/>
    <w:uiPriority w:val="99"/>
    <w:rPr>
      <w:b/>
      <w:bCs/>
      <w:i/>
      <w:iCs/>
      <w:color w:val="000000"/>
      <w:sz w:val="40"/>
      <w:szCs w:val="40"/>
    </w:rPr>
  </w:style>
  <w:style w:type="character" w:customStyle="1" w:styleId="st75">
    <w:name w:val="st75"/>
    <w:uiPriority w:val="99"/>
    <w:rPr>
      <w:b/>
      <w:bCs/>
      <w:i/>
      <w:iCs/>
      <w:color w:val="0000FF"/>
      <w:sz w:val="40"/>
      <w:szCs w:val="40"/>
    </w:rPr>
  </w:style>
  <w:style w:type="character" w:customStyle="1" w:styleId="st76">
    <w:name w:val="st76"/>
    <w:uiPriority w:val="99"/>
    <w:rPr>
      <w:b/>
      <w:bCs/>
      <w:color w:val="000000"/>
      <w:spacing w:val="48"/>
      <w:sz w:val="40"/>
      <w:szCs w:val="40"/>
    </w:rPr>
  </w:style>
  <w:style w:type="character" w:customStyle="1" w:styleId="st77">
    <w:name w:val="st77"/>
    <w:uiPriority w:val="99"/>
    <w:rPr>
      <w:b/>
      <w:bCs/>
      <w:color w:val="0000FF"/>
      <w:spacing w:val="48"/>
      <w:sz w:val="40"/>
      <w:szCs w:val="40"/>
    </w:rPr>
  </w:style>
  <w:style w:type="character" w:customStyle="1" w:styleId="st78">
    <w:name w:val="st78"/>
    <w:uiPriority w:val="99"/>
    <w:rPr>
      <w:b/>
      <w:bCs/>
      <w:i/>
      <w:iCs/>
      <w:color w:val="000000"/>
      <w:spacing w:val="48"/>
      <w:sz w:val="40"/>
      <w:szCs w:val="40"/>
    </w:rPr>
  </w:style>
  <w:style w:type="character" w:customStyle="1" w:styleId="st79">
    <w:name w:val="st79"/>
    <w:uiPriority w:val="99"/>
    <w:rPr>
      <w:b/>
      <w:bCs/>
      <w:i/>
      <w:iCs/>
      <w:color w:val="0000FF"/>
      <w:spacing w:val="48"/>
      <w:sz w:val="40"/>
      <w:szCs w:val="40"/>
    </w:rPr>
  </w:style>
  <w:style w:type="character" w:customStyle="1" w:styleId="st80">
    <w:name w:val="st80"/>
    <w:uiPriority w:val="99"/>
    <w:rPr>
      <w:rFonts w:ascii="Symbol" w:hAnsi="Symbol" w:cs="Symbol"/>
      <w:b/>
      <w:bCs/>
      <w:color w:val="000000"/>
    </w:rPr>
  </w:style>
  <w:style w:type="character" w:customStyle="1" w:styleId="st81">
    <w:name w:val="st81"/>
    <w:uiPriority w:val="99"/>
    <w:rPr>
      <w:rFonts w:ascii="Symbol" w:hAnsi="Symbol" w:cs="Symbol"/>
      <w:b/>
      <w:bCs/>
      <w:color w:val="0000FF"/>
    </w:rPr>
  </w:style>
  <w:style w:type="character" w:customStyle="1" w:styleId="st82">
    <w:name w:val="st82"/>
    <w:uiPriority w:val="99"/>
    <w:rPr>
      <w:color w:val="000000"/>
      <w:sz w:val="20"/>
      <w:szCs w:val="20"/>
    </w:rPr>
  </w:style>
  <w:style w:type="character" w:customStyle="1" w:styleId="st83">
    <w:name w:val="st83"/>
    <w:uiPriority w:val="99"/>
    <w:rPr>
      <w:color w:val="0000FF"/>
      <w:sz w:val="20"/>
      <w:szCs w:val="20"/>
    </w:rPr>
  </w:style>
  <w:style w:type="character" w:customStyle="1" w:styleId="st84">
    <w:name w:val="st84"/>
    <w:uiPriority w:val="99"/>
    <w:rPr>
      <w:b/>
      <w:bCs/>
      <w:color w:val="000000"/>
      <w:sz w:val="16"/>
      <w:szCs w:val="16"/>
    </w:rPr>
  </w:style>
  <w:style w:type="character" w:customStyle="1" w:styleId="st85">
    <w:name w:val="st85"/>
    <w:uiPriority w:val="99"/>
    <w:rPr>
      <w:b/>
      <w:bCs/>
      <w:color w:val="0000FF"/>
      <w:sz w:val="16"/>
      <w:szCs w:val="16"/>
    </w:rPr>
  </w:style>
  <w:style w:type="character" w:customStyle="1" w:styleId="st86">
    <w:name w:val="st86"/>
    <w:uiPriority w:val="99"/>
    <w:rPr>
      <w:i/>
      <w:iCs/>
      <w:color w:val="000000"/>
      <w:sz w:val="16"/>
      <w:szCs w:val="16"/>
    </w:rPr>
  </w:style>
  <w:style w:type="character" w:customStyle="1" w:styleId="st87">
    <w:name w:val="st87"/>
    <w:uiPriority w:val="99"/>
    <w:rPr>
      <w:i/>
      <w:iCs/>
      <w:color w:val="0000FF"/>
      <w:sz w:val="16"/>
      <w:szCs w:val="16"/>
    </w:rPr>
  </w:style>
  <w:style w:type="character" w:customStyle="1" w:styleId="st88">
    <w:name w:val="st88"/>
    <w:uiPriority w:val="99"/>
    <w:rPr>
      <w:b/>
      <w:bCs/>
      <w:i/>
      <w:iCs/>
      <w:color w:val="000000"/>
      <w:sz w:val="16"/>
      <w:szCs w:val="16"/>
    </w:rPr>
  </w:style>
  <w:style w:type="character" w:customStyle="1" w:styleId="st89">
    <w:name w:val="st89"/>
    <w:uiPriority w:val="99"/>
    <w:rPr>
      <w:b/>
      <w:bCs/>
      <w:i/>
      <w:iCs/>
      <w:color w:val="0000FF"/>
      <w:sz w:val="16"/>
      <w:szCs w:val="16"/>
    </w:rPr>
  </w:style>
  <w:style w:type="character" w:customStyle="1" w:styleId="st90">
    <w:name w:val="st90"/>
    <w:uiPriority w:val="99"/>
    <w:rPr>
      <w:b/>
      <w:bCs/>
      <w:color w:val="000000"/>
      <w:sz w:val="20"/>
      <w:szCs w:val="20"/>
    </w:rPr>
  </w:style>
  <w:style w:type="character" w:customStyle="1" w:styleId="st91">
    <w:name w:val="st91"/>
    <w:uiPriority w:val="99"/>
    <w:rPr>
      <w:b/>
      <w:bCs/>
      <w:color w:val="0000FF"/>
      <w:sz w:val="20"/>
      <w:szCs w:val="20"/>
    </w:rPr>
  </w:style>
  <w:style w:type="character" w:customStyle="1" w:styleId="st92">
    <w:name w:val="st92"/>
    <w:uiPriority w:val="99"/>
    <w:rPr>
      <w:i/>
      <w:iCs/>
      <w:color w:val="000000"/>
      <w:sz w:val="20"/>
      <w:szCs w:val="20"/>
    </w:rPr>
  </w:style>
  <w:style w:type="character" w:customStyle="1" w:styleId="st93">
    <w:name w:val="st93"/>
    <w:uiPriority w:val="99"/>
    <w:rPr>
      <w:i/>
      <w:iCs/>
      <w:color w:val="0000FF"/>
      <w:sz w:val="20"/>
      <w:szCs w:val="20"/>
    </w:rPr>
  </w:style>
  <w:style w:type="character" w:customStyle="1" w:styleId="st94">
    <w:name w:val="st94"/>
    <w:uiPriority w:val="99"/>
    <w:rPr>
      <w:b/>
      <w:bCs/>
      <w:i/>
      <w:iCs/>
      <w:color w:val="000000"/>
      <w:sz w:val="20"/>
      <w:szCs w:val="20"/>
    </w:rPr>
  </w:style>
  <w:style w:type="character" w:customStyle="1" w:styleId="st95">
    <w:name w:val="st95"/>
    <w:uiPriority w:val="99"/>
    <w:rPr>
      <w:b/>
      <w:bCs/>
      <w:i/>
      <w:iCs/>
      <w:color w:val="0000FF"/>
      <w:sz w:val="20"/>
      <w:szCs w:val="20"/>
    </w:rPr>
  </w:style>
  <w:style w:type="character" w:customStyle="1" w:styleId="st96">
    <w:name w:val="st96"/>
    <w:uiPriority w:val="99"/>
    <w:rPr>
      <w:color w:val="000000"/>
      <w:sz w:val="48"/>
      <w:szCs w:val="48"/>
      <w:vertAlign w:val="superscript"/>
    </w:rPr>
  </w:style>
  <w:style w:type="character" w:customStyle="1" w:styleId="st97">
    <w:name w:val="st97"/>
    <w:uiPriority w:val="99"/>
    <w:rPr>
      <w:color w:val="0000FF"/>
      <w:sz w:val="48"/>
      <w:szCs w:val="48"/>
      <w:vertAlign w:val="superscript"/>
    </w:rPr>
  </w:style>
  <w:style w:type="character" w:customStyle="1" w:styleId="st98">
    <w:name w:val="st98"/>
    <w:uiPriority w:val="99"/>
    <w:rPr>
      <w:color w:val="000000"/>
      <w:sz w:val="48"/>
      <w:szCs w:val="48"/>
      <w:vertAlign w:val="subscript"/>
    </w:rPr>
  </w:style>
  <w:style w:type="character" w:customStyle="1" w:styleId="st99">
    <w:name w:val="st99"/>
    <w:uiPriority w:val="99"/>
    <w:rPr>
      <w:color w:val="0000FF"/>
      <w:sz w:val="48"/>
      <w:szCs w:val="48"/>
      <w:vertAlign w:val="subscript"/>
    </w:rPr>
  </w:style>
  <w:style w:type="character" w:customStyle="1" w:styleId="st100">
    <w:name w:val="st100"/>
    <w:uiPriority w:val="99"/>
    <w:rPr>
      <w:b/>
      <w:bCs/>
      <w:color w:val="000000"/>
      <w:sz w:val="48"/>
      <w:szCs w:val="48"/>
      <w:vertAlign w:val="subscript"/>
    </w:rPr>
  </w:style>
  <w:style w:type="character" w:customStyle="1" w:styleId="st101">
    <w:name w:val="st101"/>
    <w:uiPriority w:val="99"/>
    <w:rPr>
      <w:b/>
      <w:bCs/>
      <w:color w:val="0000FF"/>
      <w:sz w:val="48"/>
      <w:szCs w:val="48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8503</Words>
  <Characters>4847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Вишнівська Тетяна Іванівна</cp:lastModifiedBy>
  <cp:revision>3</cp:revision>
  <dcterms:created xsi:type="dcterms:W3CDTF">2021-06-02T13:15:00Z</dcterms:created>
  <dcterms:modified xsi:type="dcterms:W3CDTF">2021-06-03T11:54:00Z</dcterms:modified>
</cp:coreProperties>
</file>